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100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2891864" cy="421385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1864" cy="42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</w:rPr>
      </w:pPr>
    </w:p>
    <w:p>
      <w:pPr>
        <w:pStyle w:val="Title"/>
      </w:pPr>
      <w:r>
        <w:rPr/>
        <w:t>Corporate</w:t>
      </w:r>
      <w:r>
        <w:rPr>
          <w:spacing w:val="-6"/>
        </w:rPr>
        <w:t> </w:t>
      </w:r>
      <w:r>
        <w:rPr/>
        <w:t>Responsibility</w:t>
      </w:r>
      <w:r>
        <w:rPr>
          <w:spacing w:val="-2"/>
        </w:rPr>
        <w:t> </w:t>
      </w:r>
      <w:r>
        <w:rPr/>
        <w:t>Advisory</w:t>
      </w:r>
      <w:r>
        <w:rPr>
          <w:spacing w:val="-5"/>
        </w:rPr>
        <w:t> </w:t>
      </w:r>
      <w:r>
        <w:rPr/>
        <w:t>Team</w:t>
      </w:r>
      <w:r>
        <w:rPr>
          <w:spacing w:val="-4"/>
        </w:rPr>
        <w:t> </w:t>
      </w:r>
      <w:r>
        <w:rPr/>
        <w:t>Charter</w:t>
      </w:r>
    </w:p>
    <w:p>
      <w:pPr>
        <w:pStyle w:val="BodyText"/>
        <w:spacing w:before="238"/>
        <w:ind w:left="560" w:right="709"/>
      </w:pPr>
      <w:r>
        <w:rPr/>
        <w:t>The Corporate Responsibility Advisory Team Charter governs the role of the Winnebago Industries</w:t>
      </w:r>
      <w:r>
        <w:rPr>
          <w:spacing w:val="-52"/>
        </w:rPr>
        <w:t> </w:t>
      </w:r>
      <w:r>
        <w:rPr/>
        <w:t>Corporate</w:t>
      </w:r>
      <w:r>
        <w:rPr>
          <w:spacing w:val="-2"/>
        </w:rPr>
        <w:t> </w:t>
      </w:r>
      <w:r>
        <w:rPr/>
        <w:t>Responsibility</w:t>
      </w:r>
      <w:r>
        <w:rPr>
          <w:spacing w:val="-3"/>
        </w:rPr>
        <w:t> </w:t>
      </w:r>
      <w:r>
        <w:rPr/>
        <w:t>Advisory Team.</w:t>
      </w:r>
    </w:p>
    <w:p>
      <w:pPr>
        <w:pStyle w:val="BodyText"/>
      </w:pPr>
    </w:p>
    <w:p>
      <w:pPr>
        <w:pStyle w:val="ListParagraph"/>
        <w:numPr>
          <w:ilvl w:val="0"/>
          <w:numId w:val="1"/>
        </w:numPr>
        <w:tabs>
          <w:tab w:pos="1640" w:val="left" w:leader="none"/>
          <w:tab w:pos="1641" w:val="left" w:leader="none"/>
        </w:tabs>
        <w:spacing w:line="240" w:lineRule="auto" w:before="0" w:after="0"/>
        <w:ind w:left="1640" w:right="0" w:hanging="721"/>
        <w:jc w:val="left"/>
        <w:rPr>
          <w:sz w:val="24"/>
        </w:rPr>
      </w:pPr>
      <w:r>
        <w:rPr>
          <w:sz w:val="24"/>
        </w:rPr>
        <w:t>Purpose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role</w:t>
      </w:r>
    </w:p>
    <w:p>
      <w:pPr>
        <w:pStyle w:val="BodyText"/>
        <w:ind w:left="1640" w:right="291"/>
      </w:pPr>
      <w:r>
        <w:rPr/>
        <w:t>The Winnebago Industries Corporate Responsibility Advisory Team advises the company on</w:t>
      </w:r>
      <w:r>
        <w:rPr>
          <w:spacing w:val="-52"/>
        </w:rPr>
        <w:t> </w:t>
      </w:r>
      <w:r>
        <w:rPr/>
        <w:t>environmental, social and governance (ESG) topics of significance to the company and its</w:t>
      </w:r>
      <w:r>
        <w:rPr>
          <w:spacing w:val="1"/>
        </w:rPr>
        <w:t> </w:t>
      </w:r>
      <w:r>
        <w:rPr/>
        <w:t>stakeholders. The team assists the company’s board of directors and executive leadership</w:t>
      </w:r>
      <w:r>
        <w:rPr>
          <w:spacing w:val="1"/>
        </w:rPr>
        <w:t> </w:t>
      </w:r>
      <w:r>
        <w:rPr/>
        <w:t>team in addressing the impact of ESG topics, as related to business strategy, operations,</w:t>
      </w:r>
      <w:r>
        <w:rPr>
          <w:spacing w:val="1"/>
        </w:rPr>
        <w:t> </w:t>
      </w:r>
      <w:r>
        <w:rPr/>
        <w:t>performance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reputation.</w:t>
      </w: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1640" w:val="left" w:leader="none"/>
          <w:tab w:pos="1641" w:val="left" w:leader="none"/>
        </w:tabs>
        <w:spacing w:line="240" w:lineRule="auto" w:before="1" w:after="0"/>
        <w:ind w:left="1640" w:right="0" w:hanging="721"/>
        <w:jc w:val="left"/>
        <w:rPr>
          <w:sz w:val="24"/>
        </w:rPr>
      </w:pPr>
      <w:r>
        <w:rPr>
          <w:sz w:val="24"/>
        </w:rPr>
        <w:t>Duties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4"/>
          <w:sz w:val="24"/>
        </w:rPr>
        <w:t> </w:t>
      </w:r>
      <w:r>
        <w:rPr>
          <w:sz w:val="24"/>
        </w:rPr>
        <w:t>responsibilities</w:t>
      </w:r>
    </w:p>
    <w:p>
      <w:pPr>
        <w:pStyle w:val="ListParagraph"/>
        <w:numPr>
          <w:ilvl w:val="1"/>
          <w:numId w:val="1"/>
        </w:numPr>
        <w:tabs>
          <w:tab w:pos="2001" w:val="left" w:leader="none"/>
        </w:tabs>
        <w:spacing w:line="240" w:lineRule="auto" w:before="2" w:after="0"/>
        <w:ind w:left="2000" w:right="0" w:hanging="361"/>
        <w:jc w:val="left"/>
        <w:rPr>
          <w:sz w:val="24"/>
        </w:rPr>
      </w:pPr>
      <w:r>
        <w:rPr>
          <w:sz w:val="24"/>
        </w:rPr>
        <w:t>Inform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oversee</w:t>
      </w:r>
      <w:r>
        <w:rPr>
          <w:spacing w:val="-1"/>
          <w:sz w:val="24"/>
        </w:rPr>
        <w:t> </w:t>
      </w:r>
      <w:r>
        <w:rPr>
          <w:sz w:val="24"/>
        </w:rPr>
        <w:t>ESG</w:t>
      </w:r>
      <w:r>
        <w:rPr>
          <w:spacing w:val="-3"/>
          <w:sz w:val="24"/>
        </w:rPr>
        <w:t> </w:t>
      </w:r>
      <w:r>
        <w:rPr>
          <w:sz w:val="24"/>
        </w:rPr>
        <w:t>materiality</w:t>
      </w:r>
      <w:r>
        <w:rPr>
          <w:spacing w:val="-1"/>
          <w:sz w:val="24"/>
        </w:rPr>
        <w:t> </w:t>
      </w:r>
      <w:r>
        <w:rPr>
          <w:sz w:val="24"/>
        </w:rPr>
        <w:t>assessment</w:t>
      </w:r>
      <w:r>
        <w:rPr>
          <w:spacing w:val="-1"/>
          <w:sz w:val="24"/>
        </w:rPr>
        <w:t> </w:t>
      </w:r>
      <w:r>
        <w:rPr>
          <w:sz w:val="24"/>
        </w:rPr>
        <w:t>to prioritize</w:t>
      </w:r>
      <w:r>
        <w:rPr>
          <w:spacing w:val="-2"/>
          <w:sz w:val="24"/>
        </w:rPr>
        <w:t> </w:t>
      </w:r>
      <w:r>
        <w:rPr>
          <w:sz w:val="24"/>
        </w:rPr>
        <w:t>ESG topics for</w:t>
      </w:r>
      <w:r>
        <w:rPr>
          <w:spacing w:val="-2"/>
          <w:sz w:val="24"/>
        </w:rPr>
        <w:t> </w:t>
      </w:r>
      <w:r>
        <w:rPr>
          <w:sz w:val="24"/>
        </w:rPr>
        <w:t>goal</w:t>
      </w:r>
      <w:r>
        <w:rPr>
          <w:spacing w:val="-1"/>
          <w:sz w:val="24"/>
        </w:rPr>
        <w:t> </w:t>
      </w:r>
      <w:r>
        <w:rPr>
          <w:sz w:val="24"/>
        </w:rPr>
        <w:t>setting.</w:t>
      </w:r>
    </w:p>
    <w:p>
      <w:pPr>
        <w:pStyle w:val="ListParagraph"/>
        <w:numPr>
          <w:ilvl w:val="1"/>
          <w:numId w:val="1"/>
        </w:numPr>
        <w:tabs>
          <w:tab w:pos="2001" w:val="left" w:leader="none"/>
        </w:tabs>
        <w:spacing w:line="240" w:lineRule="auto" w:before="0" w:after="0"/>
        <w:ind w:left="2000" w:right="174" w:hanging="360"/>
        <w:jc w:val="left"/>
        <w:rPr>
          <w:sz w:val="24"/>
        </w:rPr>
      </w:pPr>
      <w:r>
        <w:rPr>
          <w:sz w:val="24"/>
        </w:rPr>
        <w:t>Consult and advise a sub-team of company ESG goal-owners who possess subject-matter</w:t>
      </w:r>
      <w:r>
        <w:rPr>
          <w:spacing w:val="-52"/>
          <w:sz w:val="24"/>
        </w:rPr>
        <w:t> </w:t>
      </w:r>
      <w:r>
        <w:rPr>
          <w:sz w:val="24"/>
        </w:rPr>
        <w:t>expertise to develop meaningful ESG</w:t>
      </w:r>
      <w:r>
        <w:rPr>
          <w:spacing w:val="1"/>
          <w:sz w:val="24"/>
        </w:rPr>
        <w:t> </w:t>
      </w:r>
      <w:r>
        <w:rPr>
          <w:sz w:val="24"/>
        </w:rPr>
        <w:t>goals</w:t>
      </w:r>
      <w:r>
        <w:rPr>
          <w:spacing w:val="-3"/>
          <w:sz w:val="24"/>
        </w:rPr>
        <w:t> </w:t>
      </w:r>
      <w:r>
        <w:rPr>
          <w:sz w:val="24"/>
        </w:rPr>
        <w:t>and timelines.</w:t>
      </w:r>
    </w:p>
    <w:p>
      <w:pPr>
        <w:pStyle w:val="ListParagraph"/>
        <w:numPr>
          <w:ilvl w:val="1"/>
          <w:numId w:val="1"/>
        </w:numPr>
        <w:tabs>
          <w:tab w:pos="2001" w:val="left" w:leader="none"/>
        </w:tabs>
        <w:spacing w:line="240" w:lineRule="auto" w:before="0" w:after="0"/>
        <w:ind w:left="2000" w:right="429" w:hanging="360"/>
        <w:jc w:val="left"/>
        <w:rPr>
          <w:sz w:val="24"/>
        </w:rPr>
      </w:pPr>
      <w:r>
        <w:rPr>
          <w:sz w:val="24"/>
        </w:rPr>
        <w:t>Develop</w:t>
      </w:r>
      <w:r>
        <w:rPr>
          <w:spacing w:val="-2"/>
          <w:sz w:val="24"/>
        </w:rPr>
        <w:t> </w:t>
      </w:r>
      <w:r>
        <w:rPr>
          <w:sz w:val="24"/>
        </w:rPr>
        <w:t>strategies for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company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engage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communicate</w:t>
      </w:r>
      <w:r>
        <w:rPr>
          <w:spacing w:val="-3"/>
          <w:sz w:val="24"/>
        </w:rPr>
        <w:t> </w:t>
      </w:r>
      <w:r>
        <w:rPr>
          <w:sz w:val="24"/>
        </w:rPr>
        <w:t>with</w:t>
      </w:r>
      <w:r>
        <w:rPr>
          <w:spacing w:val="-4"/>
          <w:sz w:val="24"/>
        </w:rPr>
        <w:t> </w:t>
      </w:r>
      <w:r>
        <w:rPr>
          <w:sz w:val="24"/>
        </w:rPr>
        <w:t>stakeholders</w:t>
      </w:r>
      <w:r>
        <w:rPr>
          <w:spacing w:val="-1"/>
          <w:sz w:val="24"/>
        </w:rPr>
        <w:t> </w:t>
      </w:r>
      <w:r>
        <w:rPr>
          <w:sz w:val="24"/>
        </w:rPr>
        <w:t>on</w:t>
      </w:r>
      <w:r>
        <w:rPr>
          <w:spacing w:val="-51"/>
          <w:sz w:val="24"/>
        </w:rPr>
        <w:t> </w:t>
      </w:r>
      <w:r>
        <w:rPr>
          <w:sz w:val="24"/>
        </w:rPr>
        <w:t>ESG topics.</w:t>
      </w:r>
    </w:p>
    <w:p>
      <w:pPr>
        <w:pStyle w:val="ListParagraph"/>
        <w:numPr>
          <w:ilvl w:val="1"/>
          <w:numId w:val="1"/>
        </w:numPr>
        <w:tabs>
          <w:tab w:pos="2001" w:val="left" w:leader="none"/>
        </w:tabs>
        <w:spacing w:line="293" w:lineRule="exact" w:before="0" w:after="0"/>
        <w:ind w:left="2000" w:right="0" w:hanging="361"/>
        <w:jc w:val="left"/>
        <w:rPr>
          <w:sz w:val="24"/>
        </w:rPr>
      </w:pPr>
      <w:r>
        <w:rPr>
          <w:sz w:val="24"/>
        </w:rPr>
        <w:t>Review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approve</w:t>
      </w:r>
      <w:r>
        <w:rPr>
          <w:spacing w:val="-2"/>
          <w:sz w:val="24"/>
        </w:rPr>
        <w:t> </w:t>
      </w:r>
      <w:r>
        <w:rPr>
          <w:sz w:val="24"/>
        </w:rPr>
        <w:t>annual</w:t>
      </w:r>
      <w:r>
        <w:rPr>
          <w:spacing w:val="-2"/>
          <w:sz w:val="24"/>
        </w:rPr>
        <w:t> </w:t>
      </w:r>
      <w:r>
        <w:rPr>
          <w:sz w:val="24"/>
        </w:rPr>
        <w:t>ESG report.</w:t>
      </w:r>
    </w:p>
    <w:p>
      <w:pPr>
        <w:pStyle w:val="ListParagraph"/>
        <w:numPr>
          <w:ilvl w:val="1"/>
          <w:numId w:val="1"/>
        </w:numPr>
        <w:tabs>
          <w:tab w:pos="2055" w:val="left" w:leader="none"/>
          <w:tab w:pos="2056" w:val="left" w:leader="none"/>
        </w:tabs>
        <w:spacing w:line="240" w:lineRule="auto" w:before="0" w:after="0"/>
        <w:ind w:left="2000" w:right="814" w:hanging="360"/>
        <w:jc w:val="left"/>
        <w:rPr>
          <w:sz w:val="24"/>
        </w:rPr>
      </w:pPr>
      <w:r>
        <w:rPr/>
        <w:tab/>
      </w:r>
      <w:r>
        <w:rPr>
          <w:sz w:val="24"/>
        </w:rPr>
        <w:t>Monitor and analyze external ESG trends and to ensure compliance with ESG best</w:t>
      </w:r>
      <w:r>
        <w:rPr>
          <w:spacing w:val="-53"/>
          <w:sz w:val="24"/>
        </w:rPr>
        <w:t> </w:t>
      </w:r>
      <w:r>
        <w:rPr>
          <w:sz w:val="24"/>
        </w:rPr>
        <w:t>practices</w:t>
      </w:r>
      <w:r>
        <w:rPr>
          <w:spacing w:val="-2"/>
          <w:sz w:val="24"/>
        </w:rPr>
        <w:t> </w:t>
      </w:r>
      <w:r>
        <w:rPr>
          <w:sz w:val="24"/>
        </w:rPr>
        <w:t>and timely response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relevant third-party</w:t>
      </w:r>
      <w:r>
        <w:rPr>
          <w:spacing w:val="-1"/>
          <w:sz w:val="24"/>
        </w:rPr>
        <w:t> </w:t>
      </w:r>
      <w:r>
        <w:rPr>
          <w:sz w:val="24"/>
        </w:rPr>
        <w:t>raters.</w:t>
      </w:r>
    </w:p>
    <w:p>
      <w:pPr>
        <w:pStyle w:val="ListParagraph"/>
        <w:numPr>
          <w:ilvl w:val="1"/>
          <w:numId w:val="1"/>
        </w:numPr>
        <w:tabs>
          <w:tab w:pos="2000" w:val="left" w:leader="none"/>
          <w:tab w:pos="2001" w:val="left" w:leader="none"/>
        </w:tabs>
        <w:spacing w:line="240" w:lineRule="auto" w:before="0" w:after="0"/>
        <w:ind w:left="2000" w:right="946" w:hanging="360"/>
        <w:jc w:val="left"/>
        <w:rPr>
          <w:sz w:val="24"/>
        </w:rPr>
      </w:pPr>
      <w:r>
        <w:rPr>
          <w:sz w:val="24"/>
        </w:rPr>
        <w:t>Report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company</w:t>
      </w:r>
      <w:r>
        <w:rPr>
          <w:spacing w:val="-2"/>
          <w:sz w:val="24"/>
        </w:rPr>
        <w:t> </w:t>
      </w:r>
      <w:r>
        <w:rPr>
          <w:sz w:val="24"/>
        </w:rPr>
        <w:t>board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2"/>
          <w:sz w:val="24"/>
        </w:rPr>
        <w:t> </w:t>
      </w:r>
      <w:r>
        <w:rPr>
          <w:sz w:val="24"/>
        </w:rPr>
        <w:t>directors</w:t>
      </w:r>
      <w:r>
        <w:rPr>
          <w:spacing w:val="-3"/>
          <w:sz w:val="24"/>
        </w:rPr>
        <w:t> </w:t>
      </w:r>
      <w:r>
        <w:rPr>
          <w:sz w:val="24"/>
        </w:rPr>
        <w:t>at</w:t>
      </w:r>
      <w:r>
        <w:rPr>
          <w:spacing w:val="-3"/>
          <w:sz w:val="24"/>
        </w:rPr>
        <w:t> </w:t>
      </w:r>
      <w:r>
        <w:rPr>
          <w:sz w:val="24"/>
        </w:rPr>
        <w:t>least</w:t>
      </w:r>
      <w:r>
        <w:rPr>
          <w:spacing w:val="-1"/>
          <w:sz w:val="24"/>
        </w:rPr>
        <w:t> </w:t>
      </w:r>
      <w:r>
        <w:rPr>
          <w:sz w:val="24"/>
        </w:rPr>
        <w:t>once</w:t>
      </w:r>
      <w:r>
        <w:rPr>
          <w:spacing w:val="-3"/>
          <w:sz w:val="24"/>
        </w:rPr>
        <w:t> </w:t>
      </w:r>
      <w:r>
        <w:rPr>
          <w:sz w:val="24"/>
        </w:rPr>
        <w:t>per</w:t>
      </w:r>
      <w:r>
        <w:rPr>
          <w:spacing w:val="-2"/>
          <w:sz w:val="24"/>
        </w:rPr>
        <w:t> </w:t>
      </w:r>
      <w:r>
        <w:rPr>
          <w:sz w:val="24"/>
        </w:rPr>
        <w:t>year,</w:t>
      </w:r>
      <w:r>
        <w:rPr>
          <w:spacing w:val="-1"/>
          <w:sz w:val="24"/>
        </w:rPr>
        <w:t> </w:t>
      </w:r>
      <w:r>
        <w:rPr>
          <w:sz w:val="24"/>
        </w:rPr>
        <w:t>with</w:t>
      </w:r>
      <w:r>
        <w:rPr>
          <w:spacing w:val="-5"/>
          <w:sz w:val="24"/>
        </w:rPr>
        <w:t> </w:t>
      </w:r>
      <w:r>
        <w:rPr>
          <w:sz w:val="24"/>
        </w:rPr>
        <w:t>relevant</w:t>
      </w:r>
      <w:r>
        <w:rPr>
          <w:spacing w:val="-2"/>
          <w:sz w:val="24"/>
        </w:rPr>
        <w:t> </w:t>
      </w:r>
      <w:r>
        <w:rPr>
          <w:sz w:val="24"/>
        </w:rPr>
        <w:t>board</w:t>
      </w:r>
      <w:r>
        <w:rPr>
          <w:spacing w:val="-51"/>
          <w:sz w:val="24"/>
        </w:rPr>
        <w:t> </w:t>
      </w:r>
      <w:r>
        <w:rPr>
          <w:sz w:val="24"/>
        </w:rPr>
        <w:t>committee</w:t>
      </w:r>
      <w:r>
        <w:rPr>
          <w:spacing w:val="-2"/>
          <w:sz w:val="24"/>
        </w:rPr>
        <w:t> </w:t>
      </w:r>
      <w:r>
        <w:rPr>
          <w:sz w:val="24"/>
        </w:rPr>
        <w:t>updates</w:t>
      </w:r>
      <w:r>
        <w:rPr>
          <w:spacing w:val="1"/>
          <w:sz w:val="24"/>
        </w:rPr>
        <w:t> </w:t>
      </w:r>
      <w:r>
        <w:rPr>
          <w:sz w:val="24"/>
        </w:rPr>
        <w:t>taking</w:t>
      </w:r>
      <w:r>
        <w:rPr>
          <w:spacing w:val="-1"/>
          <w:sz w:val="24"/>
        </w:rPr>
        <w:t> </w:t>
      </w:r>
      <w:r>
        <w:rPr>
          <w:sz w:val="24"/>
        </w:rPr>
        <w:t>place throughout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calendar year.</w:t>
      </w:r>
    </w:p>
    <w:p>
      <w:pPr>
        <w:pStyle w:val="BodyText"/>
        <w:spacing w:before="11"/>
        <w:rPr>
          <w:sz w:val="23"/>
        </w:rPr>
      </w:pPr>
    </w:p>
    <w:p>
      <w:pPr>
        <w:pStyle w:val="ListParagraph"/>
        <w:numPr>
          <w:ilvl w:val="0"/>
          <w:numId w:val="1"/>
        </w:numPr>
        <w:tabs>
          <w:tab w:pos="1640" w:val="left" w:leader="none"/>
          <w:tab w:pos="1641" w:val="left" w:leader="none"/>
        </w:tabs>
        <w:spacing w:line="240" w:lineRule="auto" w:before="0" w:after="0"/>
        <w:ind w:left="1640" w:right="0" w:hanging="721"/>
        <w:jc w:val="left"/>
        <w:rPr>
          <w:sz w:val="24"/>
        </w:rPr>
      </w:pPr>
      <w:r>
        <w:rPr>
          <w:sz w:val="24"/>
        </w:rPr>
        <w:t>Organization</w:t>
      </w:r>
    </w:p>
    <w:p>
      <w:pPr>
        <w:pStyle w:val="BodyText"/>
        <w:ind w:left="1640" w:right="140"/>
      </w:pPr>
      <w:r>
        <w:rPr/>
        <w:t>The Corporate Responsibility Advisory Team is a management-based committee created for</w:t>
      </w:r>
      <w:r>
        <w:rPr>
          <w:spacing w:val="1"/>
        </w:rPr>
        <w:t> </w:t>
      </w:r>
      <w:r>
        <w:rPr/>
        <w:t>the purposes set forth in this charter. The cross-functional, enterprise spanning team is</w:t>
      </w:r>
      <w:r>
        <w:rPr>
          <w:spacing w:val="1"/>
        </w:rPr>
        <w:t> </w:t>
      </w:r>
      <w:r>
        <w:rPr/>
        <w:t>comprised of internal leaders and stakeholders representing functions such as environment,</w:t>
      </w:r>
      <w:r>
        <w:rPr>
          <w:spacing w:val="1"/>
        </w:rPr>
        <w:t> </w:t>
      </w:r>
      <w:r>
        <w:rPr/>
        <w:t>health, and safety (EHS), supply chain and enterprise operations, human resources, legal,</w:t>
      </w:r>
      <w:r>
        <w:rPr>
          <w:spacing w:val="1"/>
        </w:rPr>
        <w:t> </w:t>
      </w:r>
      <w:r>
        <w:rPr/>
        <w:t>public affairs, marketing, and investor relations. Initial members include those listed in</w:t>
      </w:r>
      <w:r>
        <w:rPr>
          <w:spacing w:val="1"/>
        </w:rPr>
        <w:t> </w:t>
      </w:r>
      <w:r>
        <w:rPr/>
        <w:t>Exhibit A. These members may be removed or replaced, or new members added, at any time</w:t>
      </w:r>
      <w:r>
        <w:rPr>
          <w:spacing w:val="-52"/>
        </w:rPr>
        <w:t> </w:t>
      </w:r>
      <w:r>
        <w:rPr/>
        <w:t>by</w:t>
      </w:r>
      <w:r>
        <w:rPr>
          <w:spacing w:val="-1"/>
        </w:rPr>
        <w:t> </w:t>
      </w:r>
      <w:r>
        <w:rPr/>
        <w:t>the CEO</w:t>
      </w:r>
      <w:r>
        <w:rPr>
          <w:spacing w:val="-1"/>
        </w:rPr>
        <w:t> </w:t>
      </w:r>
      <w:r>
        <w:rPr/>
        <w:t>and VP, General Counsel and</w:t>
      </w:r>
      <w:r>
        <w:rPr>
          <w:spacing w:val="1"/>
        </w:rPr>
        <w:t> </w:t>
      </w:r>
      <w:r>
        <w:rPr/>
        <w:t>Corporate</w:t>
      </w:r>
      <w:r>
        <w:rPr>
          <w:spacing w:val="-2"/>
        </w:rPr>
        <w:t> </w:t>
      </w:r>
      <w:r>
        <w:rPr/>
        <w:t>Secretary.</w:t>
      </w:r>
    </w:p>
    <w:p>
      <w:pPr>
        <w:pStyle w:val="BodyText"/>
        <w:spacing w:before="1"/>
      </w:pPr>
    </w:p>
    <w:p>
      <w:pPr>
        <w:pStyle w:val="BodyText"/>
        <w:ind w:left="1640"/>
      </w:pPr>
      <w:r>
        <w:rPr/>
        <w:t>The team is chaired and governed by the VP, General Counsel and Corporate Secretary, and</w:t>
      </w:r>
      <w:r>
        <w:rPr>
          <w:spacing w:val="1"/>
        </w:rPr>
        <w:t> </w:t>
      </w:r>
      <w:r>
        <w:rPr/>
        <w:t>facilitated</w:t>
      </w:r>
      <w:r>
        <w:rPr>
          <w:spacing w:val="-4"/>
        </w:rPr>
        <w:t> </w:t>
      </w:r>
      <w:r>
        <w:rPr/>
        <w:t>by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company’s</w:t>
      </w:r>
      <w:r>
        <w:rPr>
          <w:spacing w:val="-4"/>
        </w:rPr>
        <w:t> </w:t>
      </w:r>
      <w:r>
        <w:rPr/>
        <w:t>corporate</w:t>
      </w:r>
      <w:r>
        <w:rPr>
          <w:spacing w:val="-6"/>
        </w:rPr>
        <w:t> </w:t>
      </w:r>
      <w:r>
        <w:rPr/>
        <w:t>responsibility</w:t>
      </w:r>
      <w:r>
        <w:rPr>
          <w:spacing w:val="-3"/>
        </w:rPr>
        <w:t> </w:t>
      </w:r>
      <w:r>
        <w:rPr/>
        <w:t>lead.</w:t>
      </w:r>
      <w:r>
        <w:rPr>
          <w:spacing w:val="1"/>
        </w:rPr>
        <w:t> </w:t>
      </w:r>
      <w:r>
        <w:rPr/>
        <w:t>The</w:t>
      </w:r>
      <w:r>
        <w:rPr>
          <w:spacing w:val="-4"/>
        </w:rPr>
        <w:t> </w:t>
      </w:r>
      <w:r>
        <w:rPr/>
        <w:t>corporate</w:t>
      </w:r>
      <w:r>
        <w:rPr>
          <w:spacing w:val="-4"/>
        </w:rPr>
        <w:t> </w:t>
      </w:r>
      <w:r>
        <w:rPr/>
        <w:t>responsibility</w:t>
      </w:r>
      <w:r>
        <w:rPr>
          <w:spacing w:val="-4"/>
        </w:rPr>
        <w:t> </w:t>
      </w:r>
      <w:r>
        <w:rPr/>
        <w:t>lead</w:t>
      </w:r>
      <w:r>
        <w:rPr>
          <w:spacing w:val="-3"/>
        </w:rPr>
        <w:t> </w:t>
      </w:r>
      <w:r>
        <w:rPr/>
        <w:t>is</w:t>
      </w:r>
      <w:r>
        <w:rPr>
          <w:spacing w:val="-51"/>
        </w:rPr>
        <w:t> </w:t>
      </w:r>
      <w:r>
        <w:rPr/>
        <w:t>responsible for convening, presiding over meetings, and preparing agendas. The committee</w:t>
      </w:r>
      <w:r>
        <w:rPr>
          <w:spacing w:val="1"/>
        </w:rPr>
        <w:t> </w:t>
      </w:r>
      <w:r>
        <w:rPr/>
        <w:t>shall convene, virtually or in person, at least quarterly and at other times, as deemed</w:t>
      </w:r>
      <w:r>
        <w:rPr>
          <w:spacing w:val="1"/>
        </w:rPr>
        <w:t> </w:t>
      </w:r>
      <w:r>
        <w:rPr/>
        <w:t>necessary,</w:t>
      </w:r>
      <w:r>
        <w:rPr>
          <w:spacing w:val="-2"/>
        </w:rPr>
        <w:t> </w:t>
      </w:r>
      <w:r>
        <w:rPr/>
        <w:t>by the</w:t>
      </w:r>
      <w:r>
        <w:rPr>
          <w:spacing w:val="-2"/>
        </w:rPr>
        <w:t> </w:t>
      </w:r>
      <w:r>
        <w:rPr/>
        <w:t>chair.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spacing w:before="1"/>
        <w:ind w:left="1640" w:right="541"/>
        <w:jc w:val="both"/>
      </w:pPr>
      <w:r>
        <w:rPr/>
        <w:t>The team has the authority to create sub-teams and working groups, as appropriate. The</w:t>
      </w:r>
      <w:r>
        <w:rPr>
          <w:spacing w:val="-52"/>
        </w:rPr>
        <w:t> </w:t>
      </w:r>
      <w:r>
        <w:rPr/>
        <w:t>responsibilities of sub-teams will be designated by the Corporate Responsibility Advisory</w:t>
      </w:r>
      <w:r>
        <w:rPr>
          <w:spacing w:val="-52"/>
        </w:rPr>
        <w:t> </w:t>
      </w:r>
      <w:r>
        <w:rPr/>
        <w:t>Team.</w:t>
      </w:r>
    </w:p>
    <w:p>
      <w:pPr>
        <w:spacing w:after="0"/>
        <w:jc w:val="both"/>
        <w:sectPr>
          <w:type w:val="continuous"/>
          <w:pgSz w:w="12240" w:h="15840"/>
          <w:pgMar w:top="540" w:bottom="280" w:left="520" w:right="980"/>
        </w:sectPr>
      </w:pPr>
    </w:p>
    <w:p>
      <w:pPr>
        <w:pStyle w:val="BodyText"/>
        <w:spacing w:before="40"/>
        <w:ind w:left="560"/>
      </w:pPr>
      <w:r>
        <w:rPr/>
        <w:t>EXHIBIT</w:t>
      </w:r>
      <w:r>
        <w:rPr>
          <w:spacing w:val="-1"/>
        </w:rPr>
        <w:t> </w:t>
      </w:r>
      <w:r>
        <w:rPr/>
        <w:t>A</w:t>
      </w:r>
    </w:p>
    <w:p>
      <w:pPr>
        <w:pStyle w:val="BodyText"/>
      </w:pPr>
    </w:p>
    <w:p>
      <w:pPr>
        <w:pStyle w:val="BodyText"/>
        <w:spacing w:before="11"/>
        <w:rPr>
          <w:sz w:val="23"/>
        </w:rPr>
      </w:pPr>
    </w:p>
    <w:p>
      <w:pPr>
        <w:pStyle w:val="BodyText"/>
        <w:ind w:left="560"/>
      </w:pPr>
      <w:r>
        <w:rPr/>
        <w:t>Corporate</w:t>
      </w:r>
      <w:r>
        <w:rPr>
          <w:spacing w:val="-4"/>
        </w:rPr>
        <w:t> </w:t>
      </w:r>
      <w:r>
        <w:rPr/>
        <w:t>Responsibility</w:t>
      </w:r>
      <w:r>
        <w:rPr>
          <w:spacing w:val="-4"/>
        </w:rPr>
        <w:t> </w:t>
      </w:r>
      <w:r>
        <w:rPr/>
        <w:t>Advisory</w:t>
      </w:r>
      <w:r>
        <w:rPr>
          <w:spacing w:val="-2"/>
        </w:rPr>
        <w:t> </w:t>
      </w:r>
      <w:r>
        <w:rPr/>
        <w:t>Team,</w:t>
      </w:r>
      <w:r>
        <w:rPr>
          <w:spacing w:val="-2"/>
        </w:rPr>
        <w:t> </w:t>
      </w:r>
      <w:r>
        <w:rPr/>
        <w:t>established</w:t>
      </w:r>
      <w:r>
        <w:rPr>
          <w:spacing w:val="-2"/>
        </w:rPr>
        <w:t> </w:t>
      </w:r>
      <w:r>
        <w:rPr/>
        <w:t>September</w:t>
      </w:r>
      <w:r>
        <w:rPr>
          <w:spacing w:val="-1"/>
        </w:rPr>
        <w:t> </w:t>
      </w:r>
      <w:r>
        <w:rPr/>
        <w:t>2018</w:t>
      </w:r>
    </w:p>
    <w:p>
      <w:pPr>
        <w:pStyle w:val="BodyText"/>
      </w:pPr>
    </w:p>
    <w:tbl>
      <w:tblPr>
        <w:tblW w:w="0" w:type="auto"/>
        <w:jc w:val="left"/>
        <w:tblInd w:w="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91"/>
        <w:gridCol w:w="6326"/>
      </w:tblGrid>
      <w:tr>
        <w:trPr>
          <w:trHeight w:val="572" w:hRule="atLeast"/>
        </w:trPr>
        <w:tc>
          <w:tcPr>
            <w:tcW w:w="3691" w:type="dxa"/>
            <w:tcBorders>
              <w:top w:val="single" w:sz="8" w:space="0" w:color="C0504D"/>
              <w:bottom w:val="single" w:sz="8" w:space="0" w:color="C0504D"/>
            </w:tcBorders>
          </w:tcPr>
          <w:p>
            <w:pPr>
              <w:pStyle w:val="TableParagraph"/>
              <w:spacing w:before="73"/>
              <w:rPr>
                <w:b/>
                <w:sz w:val="24"/>
              </w:rPr>
            </w:pPr>
            <w:r>
              <w:rPr>
                <w:b/>
                <w:sz w:val="24"/>
              </w:rPr>
              <w:t>Name</w:t>
            </w:r>
          </w:p>
        </w:tc>
        <w:tc>
          <w:tcPr>
            <w:tcW w:w="6326" w:type="dxa"/>
            <w:tcBorders>
              <w:top w:val="single" w:sz="8" w:space="0" w:color="C0504D"/>
              <w:bottom w:val="single" w:sz="8" w:space="0" w:color="C0504D"/>
            </w:tcBorders>
          </w:tcPr>
          <w:p>
            <w:pPr>
              <w:pStyle w:val="TableParagraph"/>
              <w:spacing w:before="73"/>
              <w:ind w:left="1400"/>
              <w:rPr>
                <w:b/>
                <w:sz w:val="24"/>
              </w:rPr>
            </w:pPr>
            <w:r>
              <w:rPr>
                <w:b/>
                <w:sz w:val="24"/>
              </w:rPr>
              <w:t>Function</w:t>
            </w:r>
          </w:p>
        </w:tc>
      </w:tr>
      <w:tr>
        <w:trPr>
          <w:trHeight w:val="573" w:hRule="atLeast"/>
        </w:trPr>
        <w:tc>
          <w:tcPr>
            <w:tcW w:w="3691" w:type="dxa"/>
            <w:tcBorders>
              <w:top w:val="single" w:sz="8" w:space="0" w:color="C0504D"/>
            </w:tcBorders>
            <w:shd w:val="clear" w:color="auto" w:fill="F4E9E9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Stacy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Bogart, chair</w:t>
            </w:r>
          </w:p>
        </w:tc>
        <w:tc>
          <w:tcPr>
            <w:tcW w:w="6326" w:type="dxa"/>
            <w:tcBorders>
              <w:top w:val="single" w:sz="8" w:space="0" w:color="C0504D"/>
            </w:tcBorders>
            <w:shd w:val="clear" w:color="auto" w:fill="F4E9E9"/>
          </w:tcPr>
          <w:p>
            <w:pPr>
              <w:pStyle w:val="TableParagraph"/>
              <w:ind w:left="1400"/>
              <w:rPr>
                <w:sz w:val="24"/>
              </w:rPr>
            </w:pPr>
            <w:r>
              <w:rPr>
                <w:sz w:val="24"/>
              </w:rPr>
              <w:t>VP,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General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Counsel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Corporate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Secretary</w:t>
            </w:r>
          </w:p>
        </w:tc>
      </w:tr>
      <w:tr>
        <w:trPr>
          <w:trHeight w:val="571" w:hRule="atLeast"/>
        </w:trPr>
        <w:tc>
          <w:tcPr>
            <w:tcW w:w="3691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Chris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West</w:t>
            </w:r>
          </w:p>
        </w:tc>
        <w:tc>
          <w:tcPr>
            <w:tcW w:w="6326" w:type="dxa"/>
          </w:tcPr>
          <w:p>
            <w:pPr>
              <w:pStyle w:val="TableParagraph"/>
              <w:ind w:left="1400"/>
              <w:rPr>
                <w:sz w:val="24"/>
              </w:rPr>
            </w:pPr>
            <w:r>
              <w:rPr>
                <w:sz w:val="24"/>
              </w:rPr>
              <w:t>VP,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Operations</w:t>
            </w:r>
          </w:p>
        </w:tc>
      </w:tr>
      <w:tr>
        <w:trPr>
          <w:trHeight w:val="730" w:hRule="atLeast"/>
        </w:trPr>
        <w:tc>
          <w:tcPr>
            <w:tcW w:w="3691" w:type="dxa"/>
            <w:shd w:val="clear" w:color="auto" w:fill="F4E9E9"/>
          </w:tcPr>
          <w:p>
            <w:pPr>
              <w:pStyle w:val="TableParagraph"/>
              <w:spacing w:before="72"/>
              <w:rPr>
                <w:sz w:val="24"/>
              </w:rPr>
            </w:pPr>
            <w:r>
              <w:rPr>
                <w:sz w:val="24"/>
              </w:rPr>
              <w:t>Ashis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Bhattacharya</w:t>
            </w:r>
          </w:p>
        </w:tc>
        <w:tc>
          <w:tcPr>
            <w:tcW w:w="6326" w:type="dxa"/>
            <w:shd w:val="clear" w:color="auto" w:fill="F4E9E9"/>
          </w:tcPr>
          <w:p>
            <w:pPr>
              <w:pStyle w:val="TableParagraph"/>
              <w:spacing w:before="72"/>
              <w:ind w:left="1400" w:right="1242"/>
              <w:rPr>
                <w:sz w:val="24"/>
              </w:rPr>
            </w:pPr>
            <w:r>
              <w:rPr>
                <w:sz w:val="24"/>
              </w:rPr>
              <w:t>VP, Business Development, Advanced</w:t>
            </w:r>
            <w:r>
              <w:rPr>
                <w:spacing w:val="-53"/>
                <w:sz w:val="24"/>
              </w:rPr>
              <w:t> </w:t>
            </w:r>
            <w:r>
              <w:rPr>
                <w:sz w:val="24"/>
              </w:rPr>
              <w:t>Technology and Specialty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Vehicles</w:t>
            </w:r>
          </w:p>
        </w:tc>
      </w:tr>
      <w:tr>
        <w:trPr>
          <w:trHeight w:val="571" w:hRule="atLeast"/>
        </w:trPr>
        <w:tc>
          <w:tcPr>
            <w:tcW w:w="3691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Jen Armogan</w:t>
            </w:r>
          </w:p>
        </w:tc>
        <w:tc>
          <w:tcPr>
            <w:tcW w:w="6326" w:type="dxa"/>
          </w:tcPr>
          <w:p>
            <w:pPr>
              <w:pStyle w:val="TableParagraph"/>
              <w:ind w:left="1400"/>
              <w:rPr>
                <w:sz w:val="24"/>
              </w:rPr>
            </w:pPr>
            <w:r>
              <w:rPr>
                <w:sz w:val="24"/>
              </w:rPr>
              <w:t>Human Resources</w:t>
            </w:r>
          </w:p>
        </w:tc>
      </w:tr>
      <w:tr>
        <w:trPr>
          <w:trHeight w:val="573" w:hRule="atLeast"/>
        </w:trPr>
        <w:tc>
          <w:tcPr>
            <w:tcW w:w="3691" w:type="dxa"/>
            <w:shd w:val="clear" w:color="auto" w:fill="F4E9E9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Cam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Boyer</w:t>
            </w:r>
          </w:p>
        </w:tc>
        <w:tc>
          <w:tcPr>
            <w:tcW w:w="6326" w:type="dxa"/>
            <w:shd w:val="clear" w:color="auto" w:fill="F4E9E9"/>
          </w:tcPr>
          <w:p>
            <w:pPr>
              <w:pStyle w:val="TableParagraph"/>
              <w:ind w:left="1400"/>
              <w:rPr>
                <w:sz w:val="24"/>
              </w:rPr>
            </w:pPr>
            <w:r>
              <w:rPr>
                <w:sz w:val="24"/>
              </w:rPr>
              <w:t>CFO,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Grand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Design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RV</w:t>
            </w:r>
          </w:p>
        </w:tc>
      </w:tr>
      <w:tr>
        <w:trPr>
          <w:trHeight w:val="571" w:hRule="atLeast"/>
        </w:trPr>
        <w:tc>
          <w:tcPr>
            <w:tcW w:w="3691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Rod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Christensen</w:t>
            </w:r>
          </w:p>
        </w:tc>
        <w:tc>
          <w:tcPr>
            <w:tcW w:w="6326" w:type="dxa"/>
          </w:tcPr>
          <w:p>
            <w:pPr>
              <w:pStyle w:val="TableParagraph"/>
              <w:ind w:left="1400"/>
              <w:rPr>
                <w:sz w:val="24"/>
              </w:rPr>
            </w:pPr>
            <w:r>
              <w:rPr>
                <w:sz w:val="24"/>
              </w:rPr>
              <w:t>Quality</w:t>
            </w:r>
          </w:p>
        </w:tc>
      </w:tr>
      <w:tr>
        <w:trPr>
          <w:trHeight w:val="571" w:hRule="atLeast"/>
        </w:trPr>
        <w:tc>
          <w:tcPr>
            <w:tcW w:w="3691" w:type="dxa"/>
            <w:shd w:val="clear" w:color="auto" w:fill="F4E9E9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Russ Garfin</w:t>
            </w:r>
          </w:p>
        </w:tc>
        <w:tc>
          <w:tcPr>
            <w:tcW w:w="6326" w:type="dxa"/>
            <w:shd w:val="clear" w:color="auto" w:fill="F4E9E9"/>
          </w:tcPr>
          <w:p>
            <w:pPr>
              <w:pStyle w:val="TableParagraph"/>
              <w:ind w:left="1400"/>
              <w:rPr>
                <w:sz w:val="24"/>
              </w:rPr>
            </w:pPr>
            <w:r>
              <w:rPr>
                <w:sz w:val="24"/>
              </w:rPr>
              <w:t>Product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Manager,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Winnebago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brand</w:t>
            </w:r>
          </w:p>
        </w:tc>
      </w:tr>
      <w:tr>
        <w:trPr>
          <w:trHeight w:val="573" w:hRule="atLeast"/>
        </w:trPr>
        <w:tc>
          <w:tcPr>
            <w:tcW w:w="3691" w:type="dxa"/>
          </w:tcPr>
          <w:p>
            <w:pPr>
              <w:pStyle w:val="TableParagraph"/>
              <w:spacing w:before="74"/>
              <w:rPr>
                <w:sz w:val="24"/>
              </w:rPr>
            </w:pPr>
            <w:r>
              <w:rPr>
                <w:sz w:val="24"/>
              </w:rPr>
              <w:t>Matt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McGinnis</w:t>
            </w:r>
          </w:p>
        </w:tc>
        <w:tc>
          <w:tcPr>
            <w:tcW w:w="6326" w:type="dxa"/>
          </w:tcPr>
          <w:p>
            <w:pPr>
              <w:pStyle w:val="TableParagraph"/>
              <w:spacing w:before="74"/>
              <w:ind w:left="1400"/>
              <w:rPr>
                <w:sz w:val="24"/>
              </w:rPr>
            </w:pPr>
            <w:r>
              <w:rPr>
                <w:sz w:val="24"/>
              </w:rPr>
              <w:t>VP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Operations,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Chris-Craft</w:t>
            </w:r>
          </w:p>
        </w:tc>
      </w:tr>
      <w:tr>
        <w:trPr>
          <w:trHeight w:val="571" w:hRule="atLeast"/>
        </w:trPr>
        <w:tc>
          <w:tcPr>
            <w:tcW w:w="3691" w:type="dxa"/>
            <w:shd w:val="clear" w:color="auto" w:fill="F4E9E9"/>
          </w:tcPr>
          <w:p>
            <w:pPr>
              <w:pStyle w:val="TableParagraph"/>
              <w:spacing w:before="72"/>
              <w:rPr>
                <w:sz w:val="24"/>
              </w:rPr>
            </w:pPr>
            <w:r>
              <w:rPr>
                <w:sz w:val="24"/>
              </w:rPr>
              <w:t>Rick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Puckett</w:t>
            </w:r>
          </w:p>
        </w:tc>
        <w:tc>
          <w:tcPr>
            <w:tcW w:w="6326" w:type="dxa"/>
            <w:shd w:val="clear" w:color="auto" w:fill="F4E9E9"/>
          </w:tcPr>
          <w:p>
            <w:pPr>
              <w:pStyle w:val="TableParagraph"/>
              <w:spacing w:before="72"/>
              <w:ind w:left="1400"/>
              <w:rPr>
                <w:sz w:val="24"/>
              </w:rPr>
            </w:pPr>
            <w:r>
              <w:rPr>
                <w:sz w:val="24"/>
              </w:rPr>
              <w:t>Environment,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Health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Safety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(EHS)</w:t>
            </w:r>
          </w:p>
        </w:tc>
      </w:tr>
      <w:tr>
        <w:trPr>
          <w:trHeight w:val="573" w:hRule="atLeast"/>
        </w:trPr>
        <w:tc>
          <w:tcPr>
            <w:tcW w:w="3691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Noah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Reed</w:t>
            </w:r>
          </w:p>
        </w:tc>
        <w:tc>
          <w:tcPr>
            <w:tcW w:w="6326" w:type="dxa"/>
          </w:tcPr>
          <w:p>
            <w:pPr>
              <w:pStyle w:val="TableParagraph"/>
              <w:ind w:left="1400"/>
              <w:rPr>
                <w:sz w:val="24"/>
              </w:rPr>
            </w:pPr>
            <w:r>
              <w:rPr>
                <w:sz w:val="24"/>
              </w:rPr>
              <w:t>Operations,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Winnebago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brand</w:t>
            </w:r>
          </w:p>
        </w:tc>
      </w:tr>
      <w:tr>
        <w:trPr>
          <w:trHeight w:val="571" w:hRule="atLeast"/>
        </w:trPr>
        <w:tc>
          <w:tcPr>
            <w:tcW w:w="3691" w:type="dxa"/>
            <w:shd w:val="clear" w:color="auto" w:fill="F4E9E9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Chad Reece</w:t>
            </w:r>
          </w:p>
        </w:tc>
        <w:tc>
          <w:tcPr>
            <w:tcW w:w="6326" w:type="dxa"/>
            <w:shd w:val="clear" w:color="auto" w:fill="F4E9E9"/>
          </w:tcPr>
          <w:p>
            <w:pPr>
              <w:pStyle w:val="TableParagraph"/>
              <w:ind w:left="1400"/>
              <w:rPr>
                <w:sz w:val="24"/>
              </w:rPr>
            </w:pPr>
            <w:r>
              <w:rPr>
                <w:sz w:val="24"/>
              </w:rPr>
              <w:t>Corporate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Relations</w:t>
            </w:r>
          </w:p>
        </w:tc>
      </w:tr>
      <w:tr>
        <w:trPr>
          <w:trHeight w:val="571" w:hRule="atLeast"/>
        </w:trPr>
        <w:tc>
          <w:tcPr>
            <w:tcW w:w="3691" w:type="dxa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Matt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Smith</w:t>
            </w:r>
          </w:p>
        </w:tc>
        <w:tc>
          <w:tcPr>
            <w:tcW w:w="6326" w:type="dxa"/>
          </w:tcPr>
          <w:p>
            <w:pPr>
              <w:pStyle w:val="TableParagraph"/>
              <w:ind w:left="1400"/>
              <w:rPr>
                <w:sz w:val="24"/>
              </w:rPr>
            </w:pPr>
            <w:r>
              <w:rPr>
                <w:sz w:val="24"/>
              </w:rPr>
              <w:t>Marketing,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Winnebago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brand</w:t>
            </w:r>
          </w:p>
        </w:tc>
      </w:tr>
      <w:tr>
        <w:trPr>
          <w:trHeight w:val="573" w:hRule="atLeast"/>
        </w:trPr>
        <w:tc>
          <w:tcPr>
            <w:tcW w:w="3691" w:type="dxa"/>
            <w:shd w:val="clear" w:color="auto" w:fill="F4E9E9"/>
          </w:tcPr>
          <w:p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Steve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Stuber</w:t>
            </w:r>
          </w:p>
        </w:tc>
        <w:tc>
          <w:tcPr>
            <w:tcW w:w="6326" w:type="dxa"/>
            <w:shd w:val="clear" w:color="auto" w:fill="F4E9E9"/>
          </w:tcPr>
          <w:p>
            <w:pPr>
              <w:pStyle w:val="TableParagraph"/>
              <w:ind w:left="1400"/>
              <w:rPr>
                <w:sz w:val="24"/>
              </w:rPr>
            </w:pPr>
            <w:r>
              <w:rPr>
                <w:sz w:val="24"/>
              </w:rPr>
              <w:t>Investor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Relations</w:t>
            </w:r>
          </w:p>
        </w:tc>
      </w:tr>
      <w:tr>
        <w:trPr>
          <w:trHeight w:val="360" w:hRule="atLeast"/>
        </w:trPr>
        <w:tc>
          <w:tcPr>
            <w:tcW w:w="3691" w:type="dxa"/>
          </w:tcPr>
          <w:p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Katy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Friesz,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team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lead</w:t>
            </w:r>
          </w:p>
        </w:tc>
        <w:tc>
          <w:tcPr>
            <w:tcW w:w="6326" w:type="dxa"/>
          </w:tcPr>
          <w:p>
            <w:pPr>
              <w:pStyle w:val="TableParagraph"/>
              <w:spacing w:line="269" w:lineRule="exact"/>
              <w:ind w:left="1400"/>
              <w:rPr>
                <w:sz w:val="24"/>
              </w:rPr>
            </w:pPr>
            <w:r>
              <w:rPr>
                <w:sz w:val="24"/>
              </w:rPr>
              <w:t>Corporate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Responsibility</w:t>
            </w:r>
          </w:p>
        </w:tc>
      </w:tr>
    </w:tbl>
    <w:p>
      <w:pPr>
        <w:pStyle w:val="BodyText"/>
        <w:spacing w:before="1"/>
        <w:rPr>
          <w:sz w:val="14"/>
        </w:rPr>
      </w:pPr>
      <w:r>
        <w:rPr/>
        <w:pict>
          <v:group style="position:absolute;margin-left:53.279999pt;margin-top:10.59pt;width:500.9pt;height:22.8pt;mso-position-horizontal-relative:page;mso-position-vertical-relative:paragraph;z-index:-15728640;mso-wrap-distance-left:0;mso-wrap-distance-right:0" coordorigin="1066,212" coordsize="10018,456">
            <v:shape style="position:absolute;left:1080;top:211;width:10003;height:437" coordorigin="1080,212" coordsize="10003,437" path="m11083,212l6013,212,1080,212,1080,284,1080,577,1080,649,6013,649,11083,649,11083,284,11083,212xe" filled="true" fillcolor="#f4e9e9" stroked="false">
              <v:path arrowok="t"/>
              <v:fill type="solid"/>
            </v:shape>
            <v:rect style="position:absolute;left:1065;top:648;width:4948;height:20" filled="true" fillcolor="#c0504d" stroked="false">
              <v:fill type="solid"/>
            </v:rect>
            <v:rect style="position:absolute;left:6013;top:576;width:5070;height:72" filled="true" fillcolor="#f4e9e9" stroked="false">
              <v:fill type="solid"/>
            </v:rect>
            <v:shape style="position:absolute;left:5998;top:648;width:5085;height:20" coordorigin="5999,649" coordsize="5085,20" path="m6018,649l5999,649,5999,668,6018,668,6018,649xm11083,649l6018,649,6018,668,11083,668,11083,649xe" filled="true" fillcolor="#c0504d" stroked="false">
              <v:path arrowok="t"/>
              <v:fill type="solid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3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914400</wp:posOffset>
            </wp:positionH>
            <wp:positionV relativeFrom="paragraph">
              <wp:posOffset>129979</wp:posOffset>
            </wp:positionV>
            <wp:extent cx="5943600" cy="347472"/>
            <wp:effectExtent l="0" t="0" r="0" b="0"/>
            <wp:wrapTopAndBottom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74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2240" w:h="15840"/>
      <w:pgMar w:top="1400" w:bottom="280" w:left="52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Calibri Light">
    <w:altName w:val="Calibri Light"/>
    <w:charset w:val="1"/>
    <w:family w:val="roman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Roman"/>
      <w:lvlText w:val="%1."/>
      <w:lvlJc w:val="left"/>
      <w:pPr>
        <w:ind w:left="1640" w:hanging="720"/>
        <w:jc w:val="left"/>
      </w:pPr>
      <w:rPr>
        <w:rFonts w:hint="default" w:ascii="Calibri Light" w:hAnsi="Calibri Light" w:eastAsia="Calibri Light" w:cs="Calibri Light"/>
        <w:spacing w:val="-1"/>
        <w:w w:val="100"/>
        <w:sz w:val="24"/>
        <w:szCs w:val="24"/>
        <w:lang w:val="en-US" w:eastAsia="en-US" w:bidi="ar-SA"/>
      </w:rPr>
    </w:lvl>
    <w:lvl w:ilvl="1">
      <w:start w:val="1"/>
      <w:numFmt w:val="lowerLetter"/>
      <w:lvlText w:val="%2."/>
      <w:lvlJc w:val="left"/>
      <w:pPr>
        <w:ind w:left="2000" w:hanging="360"/>
        <w:jc w:val="left"/>
      </w:pPr>
      <w:rPr>
        <w:rFonts w:hint="default" w:ascii="Calibri Light" w:hAnsi="Calibri Light" w:eastAsia="Calibri Light" w:cs="Calibri Light"/>
        <w:spacing w:val="-1"/>
        <w:w w:val="100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71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4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913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884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855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826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797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 Light" w:hAnsi="Calibri Light" w:eastAsia="Calibri Light" w:cs="Calibri Ligh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 Light" w:hAnsi="Calibri Light" w:eastAsia="Calibri Light" w:cs="Calibri Light"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1"/>
      <w:ind w:left="1357" w:right="898"/>
      <w:jc w:val="center"/>
    </w:pPr>
    <w:rPr>
      <w:rFonts w:ascii="Calibri Light" w:hAnsi="Calibri Light" w:eastAsia="Calibri Light" w:cs="Calibri Light"/>
      <w:sz w:val="44"/>
      <w:szCs w:val="4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2000" w:hanging="360"/>
    </w:pPr>
    <w:rPr>
      <w:rFonts w:ascii="Calibri Light" w:hAnsi="Calibri Light" w:eastAsia="Calibri Light" w:cs="Calibri Light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71"/>
      <w:ind w:left="158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E. Hicks</dc:creator>
  <dcterms:created xsi:type="dcterms:W3CDTF">2022-10-19T09:42:45Z</dcterms:created>
  <dcterms:modified xsi:type="dcterms:W3CDTF">2022-10-19T09:42:45Z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2020-04-20T00:00:00Z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2022-10-19T00:00:00Z</vt:filetime>
  </property>
</Properties>
</file>